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25E14" w14:textId="77777777" w:rsidR="00774533" w:rsidRPr="00087BA8" w:rsidRDefault="00F248F8" w:rsidP="00F248F8">
      <w:pPr>
        <w:rPr>
          <w:rFonts w:ascii="Gill Sans" w:hAnsi="Gill Sans" w:cs="Gill Sans"/>
          <w:b/>
          <w:sz w:val="28"/>
          <w:szCs w:val="28"/>
        </w:rPr>
      </w:pPr>
      <w:r w:rsidRPr="00087BA8">
        <w:rPr>
          <w:rFonts w:ascii="Gill Sans" w:hAnsi="Gill Sans" w:cs="Gill Sans"/>
          <w:b/>
          <w:sz w:val="28"/>
          <w:szCs w:val="28"/>
        </w:rPr>
        <w:t xml:space="preserve">Paper 1 </w:t>
      </w:r>
      <w:r w:rsidRPr="00087BA8">
        <w:rPr>
          <w:rFonts w:ascii="Gill Sans" w:hAnsi="Gill Sans" w:cs="Gill Sans"/>
          <w:b/>
          <w:bCs/>
          <w:sz w:val="28"/>
          <w:szCs w:val="28"/>
          <w:lang w:val="en-US"/>
        </w:rPr>
        <w:t xml:space="preserve">(SL and HL) </w:t>
      </w:r>
      <w:r w:rsidRPr="00087BA8">
        <w:rPr>
          <w:rFonts w:ascii="Gill Sans" w:hAnsi="Gill Sans" w:cs="Gill Sans"/>
          <w:b/>
          <w:sz w:val="28"/>
          <w:szCs w:val="28"/>
        </w:rPr>
        <w:t>IB Rubric</w:t>
      </w:r>
    </w:p>
    <w:p w14:paraId="29CA425E" w14:textId="3F377F81" w:rsidR="00F248F8" w:rsidRPr="00402DF7" w:rsidRDefault="00F248F8" w:rsidP="00F248F8">
      <w:pPr>
        <w:rPr>
          <w:rFonts w:ascii="Gill Sans" w:hAnsi="Gill Sans" w:cs="Gill Sans"/>
          <w:color w:val="6D6D6D"/>
          <w:lang w:val="en-US"/>
        </w:rPr>
      </w:pPr>
      <w:r w:rsidRPr="00402DF7">
        <w:rPr>
          <w:rFonts w:ascii="Gill Sans" w:hAnsi="Gill Sans" w:cs="Gill Sans"/>
          <w:color w:val="6D6D6D"/>
          <w:lang w:val="en-US"/>
        </w:rPr>
        <w:t xml:space="preserve">External assessment details </w:t>
      </w:r>
    </w:p>
    <w:p w14:paraId="5408E010" w14:textId="350B3499" w:rsidR="00F248F8" w:rsidRPr="00774533" w:rsidRDefault="00F248F8" w:rsidP="00F248F8">
      <w:pPr>
        <w:rPr>
          <w:rFonts w:ascii="Gill Sans" w:hAnsi="Gill Sans" w:cs="Gill Sans"/>
          <w:b/>
          <w:bCs/>
          <w:color w:val="6D6D6D"/>
          <w:lang w:val="en-US"/>
        </w:rPr>
      </w:pPr>
      <w:r w:rsidRPr="00402DF7">
        <w:rPr>
          <w:rFonts w:ascii="Gill Sans" w:hAnsi="Gill Sans" w:cs="Gill Sans"/>
          <w:lang w:val="en-US"/>
        </w:rPr>
        <w:t> </w:t>
      </w:r>
      <w:r w:rsidRPr="00402DF7">
        <w:rPr>
          <w:rFonts w:ascii="Gill Sans" w:hAnsi="Gill Sans" w:cs="Gill Sans"/>
          <w:b/>
          <w:bCs/>
          <w:color w:val="6D6D6D"/>
          <w:lang w:val="en-US"/>
        </w:rPr>
        <w:t>Duration: 1 hour </w:t>
      </w:r>
      <w:r w:rsidR="00C001DE">
        <w:rPr>
          <w:rFonts w:ascii="Gill Sans" w:hAnsi="Gill Sans" w:cs="Gill Sans"/>
          <w:b/>
          <w:bCs/>
          <w:color w:val="6D6D6D"/>
          <w:lang w:val="en-US"/>
        </w:rPr>
        <w:t xml:space="preserve"> </w:t>
      </w:r>
      <w:r w:rsidRPr="00402DF7">
        <w:rPr>
          <w:rFonts w:ascii="Gill Sans" w:hAnsi="Gill Sans" w:cs="Gill Sans"/>
          <w:b/>
          <w:bCs/>
          <w:color w:val="6D6D6D"/>
          <w:lang w:val="en-US"/>
        </w:rPr>
        <w:t>Weighting: 30% SL, 20% HL</w:t>
      </w:r>
    </w:p>
    <w:p w14:paraId="7388B514" w14:textId="77777777" w:rsidR="00F248F8" w:rsidRPr="00402DF7" w:rsidRDefault="00F248F8" w:rsidP="00F248F8">
      <w:pPr>
        <w:rPr>
          <w:rFonts w:ascii="Gill Sans" w:hAnsi="Gill Sans" w:cs="Gill Sans"/>
          <w:sz w:val="22"/>
          <w:szCs w:val="22"/>
          <w:lang w:val="en-US"/>
        </w:rPr>
      </w:pPr>
      <w:r w:rsidRPr="00402DF7">
        <w:rPr>
          <w:rFonts w:ascii="Gill Sans" w:hAnsi="Gill Sans" w:cs="Gill Sans"/>
          <w:b/>
          <w:bCs/>
          <w:color w:val="6D6D6D"/>
          <w:sz w:val="22"/>
          <w:szCs w:val="22"/>
          <w:lang w:val="en-US"/>
        </w:rPr>
        <w:t> </w:t>
      </w:r>
      <w:r w:rsidRPr="00402DF7">
        <w:rPr>
          <w:rFonts w:ascii="Gill Sans" w:hAnsi="Gill Sans" w:cs="Gill Sans"/>
          <w:sz w:val="22"/>
          <w:szCs w:val="22"/>
          <w:lang w:val="en-US"/>
        </w:rPr>
        <w:t xml:space="preserve">Paper 1 is a source-based examination paper based on the prescribed subjects. Each prescribed subject consists of two specified case studies, and in each examination session the paper will focus on </w:t>
      </w:r>
      <w:r w:rsidRPr="00402DF7">
        <w:rPr>
          <w:rFonts w:ascii="Gill Sans" w:hAnsi="Gill Sans" w:cs="Gill Sans"/>
          <w:b/>
          <w:bCs/>
          <w:sz w:val="22"/>
          <w:szCs w:val="22"/>
          <w:lang w:val="en-US"/>
        </w:rPr>
        <w:t xml:space="preserve">one </w:t>
      </w:r>
      <w:r w:rsidRPr="00402DF7">
        <w:rPr>
          <w:rFonts w:ascii="Gill Sans" w:hAnsi="Gill Sans" w:cs="Gill Sans"/>
          <w:sz w:val="22"/>
          <w:szCs w:val="22"/>
          <w:lang w:val="en-US"/>
        </w:rPr>
        <w:t xml:space="preserve">of the two case studies specified for each prescribed subject.  The paper will contain four sources for each prescribed subject. Sources will be primary or a mixture of primary and secondary, and may be written, pictorial or diagrammatic. The paper will consist of four questions for each prescribed subject, and students must answer all four questions from their chosen prescribed subject. Some questions will be answered using only evidence from one or more of the sources, as indicated. In other questions students will be asked to use their own knowledge of the prescribed subject as well as evidence contained in the sources. </w:t>
      </w:r>
    </w:p>
    <w:p w14:paraId="5E97B65A" w14:textId="77777777" w:rsidR="009328B6" w:rsidRPr="00402DF7" w:rsidRDefault="009328B6" w:rsidP="00F248F8">
      <w:pPr>
        <w:rPr>
          <w:rFonts w:ascii="Gill Sans" w:hAnsi="Gill Sans" w:cs="Gill 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655"/>
        <w:gridCol w:w="1134"/>
      </w:tblGrid>
      <w:tr w:rsidR="00402DF7" w:rsidRPr="00402DF7" w14:paraId="74DCE5AA" w14:textId="77777777" w:rsidTr="00402DF7">
        <w:tc>
          <w:tcPr>
            <w:tcW w:w="1809" w:type="dxa"/>
            <w:tcMar>
              <w:top w:w="20" w:type="nil"/>
              <w:left w:w="20" w:type="nil"/>
              <w:bottom w:w="20" w:type="nil"/>
              <w:right w:w="20" w:type="nil"/>
            </w:tcMar>
            <w:vAlign w:val="center"/>
          </w:tcPr>
          <w:p w14:paraId="42B6AF03" w14:textId="77777777" w:rsidR="00774533" w:rsidRDefault="00F248F8" w:rsidP="00774533">
            <w:pPr>
              <w:widowControl w:val="0"/>
              <w:autoSpaceDE w:val="0"/>
              <w:autoSpaceDN w:val="0"/>
              <w:adjustRightInd w:val="0"/>
              <w:rPr>
                <w:rFonts w:ascii="Gill Sans" w:hAnsi="Gill Sans" w:cs="Gill Sans"/>
                <w:b/>
                <w:sz w:val="22"/>
                <w:szCs w:val="22"/>
                <w:lang w:val="en-US"/>
              </w:rPr>
            </w:pPr>
            <w:r w:rsidRPr="00774533">
              <w:rPr>
                <w:rFonts w:ascii="Gill Sans" w:hAnsi="Gill Sans" w:cs="Gill Sans"/>
                <w:b/>
                <w:sz w:val="22"/>
                <w:szCs w:val="22"/>
                <w:lang w:val="en-US"/>
              </w:rPr>
              <w:t xml:space="preserve">First question, </w:t>
            </w:r>
          </w:p>
          <w:p w14:paraId="7D3B7EB9" w14:textId="7564E2D9" w:rsidR="00F248F8" w:rsidRPr="00774533" w:rsidRDefault="00F248F8" w:rsidP="00774533">
            <w:pPr>
              <w:widowControl w:val="0"/>
              <w:autoSpaceDE w:val="0"/>
              <w:autoSpaceDN w:val="0"/>
              <w:adjustRightInd w:val="0"/>
              <w:rPr>
                <w:rFonts w:ascii="Gill Sans" w:hAnsi="Gill Sans" w:cs="Gill Sans"/>
                <w:b/>
                <w:sz w:val="22"/>
                <w:szCs w:val="22"/>
                <w:lang w:val="en-US"/>
              </w:rPr>
            </w:pPr>
            <w:proofErr w:type="gramStart"/>
            <w:r w:rsidRPr="00774533">
              <w:rPr>
                <w:rFonts w:ascii="Gill Sans" w:hAnsi="Gill Sans" w:cs="Gill Sans"/>
                <w:b/>
                <w:sz w:val="22"/>
                <w:szCs w:val="22"/>
                <w:lang w:val="en-US"/>
              </w:rPr>
              <w:t>part</w:t>
            </w:r>
            <w:proofErr w:type="gramEnd"/>
            <w:r w:rsidRPr="00774533">
              <w:rPr>
                <w:rFonts w:ascii="Gill Sans" w:hAnsi="Gill Sans" w:cs="Gill Sans"/>
                <w:b/>
                <w:sz w:val="22"/>
                <w:szCs w:val="22"/>
                <w:lang w:val="en-US"/>
              </w:rPr>
              <w:t xml:space="preserve"> A</w:t>
            </w:r>
          </w:p>
        </w:tc>
        <w:tc>
          <w:tcPr>
            <w:tcW w:w="7655" w:type="dxa"/>
            <w:tcMar>
              <w:top w:w="20" w:type="nil"/>
              <w:left w:w="20" w:type="nil"/>
              <w:bottom w:w="20" w:type="nil"/>
              <w:right w:w="20" w:type="nil"/>
            </w:tcMar>
            <w:vAlign w:val="center"/>
          </w:tcPr>
          <w:p w14:paraId="6E796BDA"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This question will test understanding of one of the sources.</w:t>
            </w:r>
          </w:p>
        </w:tc>
        <w:tc>
          <w:tcPr>
            <w:tcW w:w="1134" w:type="dxa"/>
            <w:tcMar>
              <w:top w:w="20" w:type="nil"/>
              <w:left w:w="20" w:type="nil"/>
              <w:bottom w:w="20" w:type="nil"/>
              <w:right w:w="20" w:type="nil"/>
            </w:tcMar>
            <w:vAlign w:val="center"/>
          </w:tcPr>
          <w:p w14:paraId="432B72B8"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3 marks</w:t>
            </w:r>
          </w:p>
        </w:tc>
      </w:tr>
      <w:tr w:rsidR="00402DF7" w:rsidRPr="00402DF7" w14:paraId="02951227" w14:textId="77777777" w:rsidTr="00402DF7">
        <w:tc>
          <w:tcPr>
            <w:tcW w:w="1809" w:type="dxa"/>
            <w:tcMar>
              <w:top w:w="20" w:type="nil"/>
              <w:left w:w="20" w:type="nil"/>
              <w:bottom w:w="20" w:type="nil"/>
              <w:right w:w="20" w:type="nil"/>
            </w:tcMar>
            <w:vAlign w:val="center"/>
          </w:tcPr>
          <w:p w14:paraId="3A5F9A17" w14:textId="77777777" w:rsidR="00774533" w:rsidRDefault="00F248F8" w:rsidP="00774533">
            <w:pPr>
              <w:widowControl w:val="0"/>
              <w:autoSpaceDE w:val="0"/>
              <w:autoSpaceDN w:val="0"/>
              <w:adjustRightInd w:val="0"/>
              <w:rPr>
                <w:rFonts w:ascii="Gill Sans" w:hAnsi="Gill Sans" w:cs="Gill Sans"/>
                <w:b/>
                <w:sz w:val="22"/>
                <w:szCs w:val="22"/>
                <w:lang w:val="en-US"/>
              </w:rPr>
            </w:pPr>
            <w:r w:rsidRPr="00774533">
              <w:rPr>
                <w:rFonts w:ascii="Gill Sans" w:hAnsi="Gill Sans" w:cs="Gill Sans"/>
                <w:b/>
                <w:sz w:val="22"/>
                <w:szCs w:val="22"/>
                <w:lang w:val="en-US"/>
              </w:rPr>
              <w:t xml:space="preserve">First question, </w:t>
            </w:r>
          </w:p>
          <w:p w14:paraId="5963AF61" w14:textId="00A7368E" w:rsidR="00F248F8" w:rsidRPr="00774533" w:rsidRDefault="00F248F8" w:rsidP="00774533">
            <w:pPr>
              <w:widowControl w:val="0"/>
              <w:autoSpaceDE w:val="0"/>
              <w:autoSpaceDN w:val="0"/>
              <w:adjustRightInd w:val="0"/>
              <w:rPr>
                <w:rFonts w:ascii="Gill Sans" w:hAnsi="Gill Sans" w:cs="Gill Sans"/>
                <w:b/>
                <w:sz w:val="22"/>
                <w:szCs w:val="22"/>
                <w:lang w:val="en-US"/>
              </w:rPr>
            </w:pPr>
            <w:proofErr w:type="gramStart"/>
            <w:r w:rsidRPr="00774533">
              <w:rPr>
                <w:rFonts w:ascii="Gill Sans" w:hAnsi="Gill Sans" w:cs="Gill Sans"/>
                <w:b/>
                <w:sz w:val="22"/>
                <w:szCs w:val="22"/>
                <w:lang w:val="en-US"/>
              </w:rPr>
              <w:t>part</w:t>
            </w:r>
            <w:proofErr w:type="gramEnd"/>
            <w:r w:rsidRPr="00774533">
              <w:rPr>
                <w:rFonts w:ascii="Gill Sans" w:hAnsi="Gill Sans" w:cs="Gill Sans"/>
                <w:b/>
                <w:sz w:val="22"/>
                <w:szCs w:val="22"/>
                <w:lang w:val="en-US"/>
              </w:rPr>
              <w:t xml:space="preserve"> B</w:t>
            </w:r>
          </w:p>
        </w:tc>
        <w:tc>
          <w:tcPr>
            <w:tcW w:w="7655" w:type="dxa"/>
            <w:tcMar>
              <w:top w:w="20" w:type="nil"/>
              <w:left w:w="20" w:type="nil"/>
              <w:bottom w:w="20" w:type="nil"/>
              <w:right w:w="20" w:type="nil"/>
            </w:tcMar>
            <w:vAlign w:val="center"/>
          </w:tcPr>
          <w:p w14:paraId="604C098F"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This question will test understanding of one of the sources.</w:t>
            </w:r>
          </w:p>
        </w:tc>
        <w:tc>
          <w:tcPr>
            <w:tcW w:w="1134" w:type="dxa"/>
            <w:tcMar>
              <w:top w:w="20" w:type="nil"/>
              <w:left w:w="20" w:type="nil"/>
              <w:bottom w:w="20" w:type="nil"/>
              <w:right w:w="20" w:type="nil"/>
            </w:tcMar>
            <w:vAlign w:val="center"/>
          </w:tcPr>
          <w:p w14:paraId="60178D50"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2 marks</w:t>
            </w:r>
          </w:p>
        </w:tc>
      </w:tr>
      <w:tr w:rsidR="00402DF7" w:rsidRPr="00402DF7" w14:paraId="1817F0A8" w14:textId="77777777" w:rsidTr="00402DF7">
        <w:tc>
          <w:tcPr>
            <w:tcW w:w="1809" w:type="dxa"/>
            <w:tcMar>
              <w:top w:w="20" w:type="nil"/>
              <w:left w:w="20" w:type="nil"/>
              <w:bottom w:w="20" w:type="nil"/>
              <w:right w:w="20" w:type="nil"/>
            </w:tcMar>
            <w:vAlign w:val="center"/>
          </w:tcPr>
          <w:p w14:paraId="2BE61EB6"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Second question</w:t>
            </w:r>
          </w:p>
        </w:tc>
        <w:tc>
          <w:tcPr>
            <w:tcW w:w="7655" w:type="dxa"/>
            <w:tcMar>
              <w:top w:w="20" w:type="nil"/>
              <w:left w:w="20" w:type="nil"/>
              <w:bottom w:w="20" w:type="nil"/>
              <w:right w:w="20" w:type="nil"/>
            </w:tcMar>
            <w:vAlign w:val="center"/>
          </w:tcPr>
          <w:p w14:paraId="3634FCF8"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 xml:space="preserve">This question will ask students to </w:t>
            </w:r>
            <w:proofErr w:type="spellStart"/>
            <w:r w:rsidRPr="00402DF7">
              <w:rPr>
                <w:rFonts w:ascii="Gill Sans" w:hAnsi="Gill Sans" w:cs="Gill Sans"/>
                <w:sz w:val="22"/>
                <w:szCs w:val="22"/>
                <w:lang w:val="en-US"/>
              </w:rPr>
              <w:t>analyse</w:t>
            </w:r>
            <w:proofErr w:type="spellEnd"/>
            <w:r w:rsidRPr="00402DF7">
              <w:rPr>
                <w:rFonts w:ascii="Gill Sans" w:hAnsi="Gill Sans" w:cs="Gill Sans"/>
                <w:sz w:val="22"/>
                <w:szCs w:val="22"/>
                <w:lang w:val="en-US"/>
              </w:rPr>
              <w:t xml:space="preserve"> the value and limitations of one of the sources. In their analysis of value and limitations, students should refer to the origin, purpose and content of the specified source.</w:t>
            </w:r>
          </w:p>
        </w:tc>
        <w:tc>
          <w:tcPr>
            <w:tcW w:w="1134" w:type="dxa"/>
            <w:tcMar>
              <w:top w:w="20" w:type="nil"/>
              <w:left w:w="20" w:type="nil"/>
              <w:bottom w:w="20" w:type="nil"/>
              <w:right w:w="20" w:type="nil"/>
            </w:tcMar>
            <w:vAlign w:val="center"/>
          </w:tcPr>
          <w:p w14:paraId="29D98033"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4 marks</w:t>
            </w:r>
          </w:p>
        </w:tc>
      </w:tr>
      <w:tr w:rsidR="00402DF7" w:rsidRPr="00402DF7" w14:paraId="0108D6EB" w14:textId="77777777" w:rsidTr="00402DF7">
        <w:tc>
          <w:tcPr>
            <w:tcW w:w="1809" w:type="dxa"/>
            <w:tcMar>
              <w:top w:w="20" w:type="nil"/>
              <w:left w:w="20" w:type="nil"/>
              <w:bottom w:w="20" w:type="nil"/>
              <w:right w:w="20" w:type="nil"/>
            </w:tcMar>
            <w:vAlign w:val="center"/>
          </w:tcPr>
          <w:p w14:paraId="6978257C"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Third question</w:t>
            </w:r>
          </w:p>
        </w:tc>
        <w:tc>
          <w:tcPr>
            <w:tcW w:w="7655" w:type="dxa"/>
            <w:tcMar>
              <w:top w:w="20" w:type="nil"/>
              <w:left w:w="20" w:type="nil"/>
              <w:bottom w:w="20" w:type="nil"/>
              <w:right w:w="20" w:type="nil"/>
            </w:tcMar>
            <w:vAlign w:val="center"/>
          </w:tcPr>
          <w:p w14:paraId="4142F8B0"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This question will ask students to compare and contrast what two of the sources reveal to a historian studying the particular aspect of the prescribed subject.</w:t>
            </w:r>
          </w:p>
        </w:tc>
        <w:tc>
          <w:tcPr>
            <w:tcW w:w="1134" w:type="dxa"/>
            <w:tcMar>
              <w:top w:w="20" w:type="nil"/>
              <w:left w:w="20" w:type="nil"/>
              <w:bottom w:w="20" w:type="nil"/>
              <w:right w:w="20" w:type="nil"/>
            </w:tcMar>
            <w:vAlign w:val="center"/>
          </w:tcPr>
          <w:p w14:paraId="414B4E54"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6 marks</w:t>
            </w:r>
          </w:p>
        </w:tc>
      </w:tr>
      <w:tr w:rsidR="00402DF7" w:rsidRPr="00402DF7" w14:paraId="3BBE94C1" w14:textId="77777777" w:rsidTr="00402DF7">
        <w:tc>
          <w:tcPr>
            <w:tcW w:w="1809" w:type="dxa"/>
            <w:tcMar>
              <w:top w:w="20" w:type="nil"/>
              <w:left w:w="20" w:type="nil"/>
              <w:bottom w:w="20" w:type="nil"/>
              <w:right w:w="20" w:type="nil"/>
            </w:tcMar>
            <w:vAlign w:val="center"/>
          </w:tcPr>
          <w:p w14:paraId="4B29A626"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Fourth question</w:t>
            </w:r>
          </w:p>
        </w:tc>
        <w:tc>
          <w:tcPr>
            <w:tcW w:w="7655" w:type="dxa"/>
            <w:tcMar>
              <w:top w:w="20" w:type="nil"/>
              <w:left w:w="20" w:type="nil"/>
              <w:bottom w:w="20" w:type="nil"/>
              <w:right w:w="20" w:type="nil"/>
            </w:tcMar>
            <w:vAlign w:val="center"/>
          </w:tcPr>
          <w:p w14:paraId="17D7E32A"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This will be an evaluative question that asks students to draw on both the sources and their own knowledge in their evaluation.</w:t>
            </w:r>
          </w:p>
        </w:tc>
        <w:tc>
          <w:tcPr>
            <w:tcW w:w="1134" w:type="dxa"/>
            <w:tcMar>
              <w:top w:w="20" w:type="nil"/>
              <w:left w:w="20" w:type="nil"/>
              <w:bottom w:w="20" w:type="nil"/>
              <w:right w:w="20" w:type="nil"/>
            </w:tcMar>
            <w:vAlign w:val="center"/>
          </w:tcPr>
          <w:p w14:paraId="50327BA7"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9 marks</w:t>
            </w:r>
          </w:p>
        </w:tc>
      </w:tr>
    </w:tbl>
    <w:p w14:paraId="195D76D9" w14:textId="77777777" w:rsidR="00F248F8" w:rsidRPr="00402DF7" w:rsidRDefault="00F248F8" w:rsidP="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sz w:val="22"/>
          <w:szCs w:val="22"/>
          <w:lang w:val="en-US"/>
        </w:rPr>
        <w:t xml:space="preserve">The maximum mark for this paper is 24. The paper is marked using a paper-specific </w:t>
      </w:r>
      <w:proofErr w:type="spellStart"/>
      <w:r w:rsidRPr="00402DF7">
        <w:rPr>
          <w:rFonts w:ascii="Gill Sans" w:hAnsi="Gill Sans" w:cs="Gill Sans"/>
          <w:sz w:val="22"/>
          <w:szCs w:val="22"/>
          <w:lang w:val="en-US"/>
        </w:rPr>
        <w:t>markscheme</w:t>
      </w:r>
      <w:proofErr w:type="spellEnd"/>
      <w:r w:rsidRPr="00402DF7">
        <w:rPr>
          <w:rFonts w:ascii="Gill Sans" w:hAnsi="Gill Sans" w:cs="Gill Sans"/>
          <w:sz w:val="22"/>
          <w:szCs w:val="22"/>
          <w:lang w:val="en-US"/>
        </w:rPr>
        <w:t xml:space="preserve">, except for the final question for each prescribed subject, which is marked using the generic </w:t>
      </w:r>
      <w:proofErr w:type="spellStart"/>
      <w:r w:rsidRPr="00402DF7">
        <w:rPr>
          <w:rFonts w:ascii="Gill Sans" w:hAnsi="Gill Sans" w:cs="Gill Sans"/>
          <w:sz w:val="22"/>
          <w:szCs w:val="22"/>
          <w:lang w:val="en-US"/>
        </w:rPr>
        <w:t>markbands</w:t>
      </w:r>
      <w:proofErr w:type="spellEnd"/>
      <w:r w:rsidRPr="00402DF7">
        <w:rPr>
          <w:rFonts w:ascii="Gill Sans" w:hAnsi="Gill Sans" w:cs="Gill Sans"/>
          <w:sz w:val="22"/>
          <w:szCs w:val="22"/>
          <w:lang w:val="en-US"/>
        </w:rPr>
        <w:t xml:space="preserve"> that follow, in addition to a paper-specific </w:t>
      </w:r>
      <w:proofErr w:type="spellStart"/>
      <w:r w:rsidRPr="00402DF7">
        <w:rPr>
          <w:rFonts w:ascii="Gill Sans" w:hAnsi="Gill Sans" w:cs="Gill Sans"/>
          <w:sz w:val="22"/>
          <w:szCs w:val="22"/>
          <w:lang w:val="en-US"/>
        </w:rPr>
        <w:t>markscheme</w:t>
      </w:r>
      <w:proofErr w:type="spellEnd"/>
      <w:r w:rsidRPr="00402DF7">
        <w:rPr>
          <w:rFonts w:ascii="Gill Sans" w:hAnsi="Gill Sans" w:cs="Gill Sans"/>
          <w:sz w:val="22"/>
          <w:szCs w:val="22"/>
          <w:lang w:val="en-US"/>
        </w:rPr>
        <w:t>.</w:t>
      </w:r>
    </w:p>
    <w:p w14:paraId="31A5284B" w14:textId="77777777" w:rsidR="00F248F8" w:rsidRPr="00402DF7" w:rsidRDefault="00F248F8" w:rsidP="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b/>
          <w:bCs/>
          <w:sz w:val="22"/>
          <w:szCs w:val="22"/>
          <w:lang w:val="en-US"/>
        </w:rPr>
        <w:t>Paper 1 (fourth question) (SL and 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9781"/>
      </w:tblGrid>
      <w:tr w:rsidR="00F248F8" w:rsidRPr="00402DF7" w14:paraId="767C93CE" w14:textId="77777777" w:rsidTr="00087BA8">
        <w:tc>
          <w:tcPr>
            <w:tcW w:w="817" w:type="dxa"/>
            <w:shd w:val="clear" w:color="auto" w:fill="E0E0E0"/>
            <w:tcMar>
              <w:top w:w="20" w:type="nil"/>
              <w:left w:w="20" w:type="nil"/>
              <w:bottom w:w="20" w:type="nil"/>
              <w:right w:w="20" w:type="nil"/>
            </w:tcMar>
            <w:vAlign w:val="center"/>
          </w:tcPr>
          <w:p w14:paraId="28078756" w14:textId="16AF32D6"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b/>
                <w:bCs/>
                <w:color w:val="6D6D6D"/>
                <w:sz w:val="22"/>
                <w:szCs w:val="22"/>
                <w:lang w:val="en-US"/>
              </w:rPr>
              <w:t>Mark</w:t>
            </w:r>
          </w:p>
        </w:tc>
        <w:tc>
          <w:tcPr>
            <w:tcW w:w="9781" w:type="dxa"/>
            <w:shd w:val="clear" w:color="auto" w:fill="E0E0E0"/>
            <w:tcMar>
              <w:top w:w="20" w:type="nil"/>
              <w:left w:w="20" w:type="nil"/>
              <w:bottom w:w="20" w:type="nil"/>
              <w:right w:w="20" w:type="nil"/>
            </w:tcMar>
            <w:vAlign w:val="center"/>
          </w:tcPr>
          <w:p w14:paraId="43DFA9A9" w14:textId="77777777" w:rsidR="00F248F8" w:rsidRPr="00402DF7" w:rsidRDefault="00F248F8">
            <w:pPr>
              <w:widowControl w:val="0"/>
              <w:autoSpaceDE w:val="0"/>
              <w:autoSpaceDN w:val="0"/>
              <w:adjustRightInd w:val="0"/>
              <w:spacing w:after="240"/>
              <w:rPr>
                <w:rFonts w:ascii="Gill Sans" w:hAnsi="Gill Sans" w:cs="Gill Sans"/>
                <w:sz w:val="22"/>
                <w:szCs w:val="22"/>
                <w:lang w:val="en-US"/>
              </w:rPr>
            </w:pPr>
            <w:r w:rsidRPr="00402DF7">
              <w:rPr>
                <w:rFonts w:ascii="Gill Sans" w:hAnsi="Gill Sans" w:cs="Gill Sans"/>
                <w:b/>
                <w:bCs/>
                <w:color w:val="6D6D6D"/>
                <w:sz w:val="22"/>
                <w:szCs w:val="22"/>
                <w:lang w:val="en-US"/>
              </w:rPr>
              <w:t>Level descriptor</w:t>
            </w:r>
          </w:p>
        </w:tc>
      </w:tr>
      <w:tr w:rsidR="00F248F8" w:rsidRPr="00402DF7" w14:paraId="15946AE7" w14:textId="77777777" w:rsidTr="00087BA8">
        <w:trPr>
          <w:trHeight w:val="372"/>
        </w:trPr>
        <w:tc>
          <w:tcPr>
            <w:tcW w:w="817" w:type="dxa"/>
            <w:tcMar>
              <w:top w:w="20" w:type="nil"/>
              <w:left w:w="20" w:type="nil"/>
              <w:bottom w:w="20" w:type="nil"/>
              <w:right w:w="20" w:type="nil"/>
            </w:tcMar>
            <w:vAlign w:val="center"/>
          </w:tcPr>
          <w:p w14:paraId="243F36C1"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0</w:t>
            </w:r>
          </w:p>
        </w:tc>
        <w:tc>
          <w:tcPr>
            <w:tcW w:w="9781" w:type="dxa"/>
            <w:tcMar>
              <w:top w:w="20" w:type="nil"/>
              <w:left w:w="20" w:type="nil"/>
              <w:bottom w:w="20" w:type="nil"/>
              <w:right w:w="20" w:type="nil"/>
            </w:tcMar>
            <w:vAlign w:val="center"/>
          </w:tcPr>
          <w:p w14:paraId="282459C4" w14:textId="77777777" w:rsidR="00F248F8" w:rsidRPr="00C001DE" w:rsidRDefault="00F248F8" w:rsidP="00C001DE">
            <w:pPr>
              <w:pStyle w:val="ListParagraph"/>
              <w:widowControl w:val="0"/>
              <w:numPr>
                <w:ilvl w:val="0"/>
                <w:numId w:val="2"/>
              </w:numPr>
              <w:autoSpaceDE w:val="0"/>
              <w:autoSpaceDN w:val="0"/>
              <w:adjustRightInd w:val="0"/>
              <w:spacing w:after="20"/>
              <w:ind w:left="317" w:hanging="283"/>
              <w:rPr>
                <w:rFonts w:ascii="Gill Sans" w:hAnsi="Gill Sans" w:cs="Gill Sans"/>
                <w:sz w:val="22"/>
                <w:szCs w:val="22"/>
                <w:lang w:val="en-US"/>
              </w:rPr>
            </w:pPr>
            <w:r w:rsidRPr="00C001DE">
              <w:rPr>
                <w:rFonts w:ascii="Gill Sans" w:hAnsi="Gill Sans" w:cs="Gill Sans"/>
                <w:sz w:val="22"/>
                <w:szCs w:val="22"/>
                <w:lang w:val="en-US"/>
              </w:rPr>
              <w:t>The response does not reach a standard described by the descriptors below.</w:t>
            </w:r>
          </w:p>
        </w:tc>
      </w:tr>
      <w:tr w:rsidR="00F248F8" w:rsidRPr="00402DF7" w14:paraId="3BBD6C60" w14:textId="77777777" w:rsidTr="00087BA8">
        <w:trPr>
          <w:trHeight w:val="1035"/>
        </w:trPr>
        <w:tc>
          <w:tcPr>
            <w:tcW w:w="817" w:type="dxa"/>
            <w:tcMar>
              <w:top w:w="20" w:type="nil"/>
              <w:left w:w="20" w:type="nil"/>
              <w:bottom w:w="20" w:type="nil"/>
              <w:right w:w="20" w:type="nil"/>
            </w:tcMar>
            <w:vAlign w:val="center"/>
          </w:tcPr>
          <w:p w14:paraId="79D5EA52"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1–3</w:t>
            </w:r>
          </w:p>
        </w:tc>
        <w:tc>
          <w:tcPr>
            <w:tcW w:w="9781" w:type="dxa"/>
            <w:tcMar>
              <w:top w:w="20" w:type="nil"/>
              <w:left w:w="20" w:type="nil"/>
              <w:bottom w:w="20" w:type="nil"/>
              <w:right w:w="20" w:type="nil"/>
            </w:tcMar>
            <w:vAlign w:val="center"/>
          </w:tcPr>
          <w:p w14:paraId="5D4EAAB7" w14:textId="5D7C95BC" w:rsidR="00402DF7"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The response lacks focus on the question.</w:t>
            </w:r>
          </w:p>
          <w:p w14:paraId="2354F612" w14:textId="0F893108" w:rsidR="00402DF7"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References to the sources are made, but at this level these references are likely to consist of descriptions of the content of the sources rather than the sources being used as evidence to support the analysis.</w:t>
            </w:r>
          </w:p>
          <w:p w14:paraId="0D70CEE2" w14:textId="77777777" w:rsidR="00F248F8"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No own knowledge is demonstrated or, where it is demonstrated, it is inaccurate or irrelevant.</w:t>
            </w:r>
          </w:p>
        </w:tc>
      </w:tr>
      <w:tr w:rsidR="00F248F8" w:rsidRPr="00402DF7" w14:paraId="1DA17E8C" w14:textId="77777777" w:rsidTr="00087BA8">
        <w:trPr>
          <w:trHeight w:val="838"/>
        </w:trPr>
        <w:tc>
          <w:tcPr>
            <w:tcW w:w="817" w:type="dxa"/>
            <w:tcMar>
              <w:top w:w="20" w:type="nil"/>
              <w:left w:w="20" w:type="nil"/>
              <w:bottom w:w="20" w:type="nil"/>
              <w:right w:w="20" w:type="nil"/>
            </w:tcMar>
            <w:vAlign w:val="center"/>
          </w:tcPr>
          <w:p w14:paraId="6CF36228"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4–6</w:t>
            </w:r>
          </w:p>
        </w:tc>
        <w:tc>
          <w:tcPr>
            <w:tcW w:w="9781" w:type="dxa"/>
            <w:tcMar>
              <w:top w:w="20" w:type="nil"/>
              <w:left w:w="20" w:type="nil"/>
              <w:bottom w:w="20" w:type="nil"/>
              <w:right w:w="20" w:type="nil"/>
            </w:tcMar>
            <w:vAlign w:val="center"/>
          </w:tcPr>
          <w:p w14:paraId="1BDBEE8C" w14:textId="1D2AAA51" w:rsidR="00402DF7"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The response is generally focused on the question.</w:t>
            </w:r>
          </w:p>
          <w:p w14:paraId="4634ACEC" w14:textId="08D4B7ED" w:rsidR="00402DF7"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References are made to the sources, and these references are used as evidence to support the analysis.</w:t>
            </w:r>
          </w:p>
          <w:p w14:paraId="7BFC6AFE" w14:textId="63A0B20C" w:rsidR="009328B6"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Where own knowledge is demonstrated, this lacks relevance or accuracy. There is little or no attempt to synthesize own knowledge and source material.</w:t>
            </w:r>
          </w:p>
        </w:tc>
      </w:tr>
      <w:tr w:rsidR="00F248F8" w:rsidRPr="00402DF7" w14:paraId="6B81F9F7" w14:textId="77777777" w:rsidTr="00087BA8">
        <w:tc>
          <w:tcPr>
            <w:tcW w:w="817" w:type="dxa"/>
            <w:tcMar>
              <w:top w:w="20" w:type="nil"/>
              <w:left w:w="20" w:type="nil"/>
              <w:bottom w:w="20" w:type="nil"/>
              <w:right w:w="20" w:type="nil"/>
            </w:tcMar>
            <w:vAlign w:val="center"/>
          </w:tcPr>
          <w:p w14:paraId="57808677" w14:textId="77777777" w:rsidR="00F248F8" w:rsidRPr="00774533" w:rsidRDefault="00F248F8">
            <w:pPr>
              <w:widowControl w:val="0"/>
              <w:autoSpaceDE w:val="0"/>
              <w:autoSpaceDN w:val="0"/>
              <w:adjustRightInd w:val="0"/>
              <w:spacing w:after="240"/>
              <w:rPr>
                <w:rFonts w:ascii="Gill Sans" w:hAnsi="Gill Sans" w:cs="Gill Sans"/>
                <w:b/>
                <w:sz w:val="22"/>
                <w:szCs w:val="22"/>
                <w:lang w:val="en-US"/>
              </w:rPr>
            </w:pPr>
            <w:r w:rsidRPr="00774533">
              <w:rPr>
                <w:rFonts w:ascii="Gill Sans" w:hAnsi="Gill Sans" w:cs="Gill Sans"/>
                <w:b/>
                <w:sz w:val="22"/>
                <w:szCs w:val="22"/>
                <w:lang w:val="en-US"/>
              </w:rPr>
              <w:t>7–9</w:t>
            </w:r>
          </w:p>
        </w:tc>
        <w:tc>
          <w:tcPr>
            <w:tcW w:w="9781" w:type="dxa"/>
            <w:tcMar>
              <w:top w:w="20" w:type="nil"/>
              <w:left w:w="20" w:type="nil"/>
              <w:bottom w:w="20" w:type="nil"/>
              <w:right w:w="20" w:type="nil"/>
            </w:tcMar>
            <w:vAlign w:val="center"/>
          </w:tcPr>
          <w:p w14:paraId="184D7BF1" w14:textId="26DB63FB" w:rsidR="00402DF7"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The response is focused on the question.</w:t>
            </w:r>
          </w:p>
          <w:p w14:paraId="48D05A14" w14:textId="4997640F" w:rsidR="00402DF7"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Clear references are made to the sources, and these references are used effectively as evidence to support the analy</w:t>
            </w:r>
            <w:bookmarkStart w:id="0" w:name="_GoBack"/>
            <w:bookmarkEnd w:id="0"/>
            <w:r w:rsidRPr="00C001DE">
              <w:rPr>
                <w:rFonts w:ascii="Gill Sans" w:hAnsi="Gill Sans" w:cs="Gill Sans"/>
                <w:sz w:val="22"/>
                <w:szCs w:val="22"/>
                <w:lang w:val="en-US"/>
              </w:rPr>
              <w:t>sis.</w:t>
            </w:r>
          </w:p>
          <w:p w14:paraId="7C1C7A05" w14:textId="77777777" w:rsidR="009328B6" w:rsidRPr="00C001DE" w:rsidRDefault="00F248F8" w:rsidP="00C001DE">
            <w:pPr>
              <w:pStyle w:val="ListParagraph"/>
              <w:widowControl w:val="0"/>
              <w:numPr>
                <w:ilvl w:val="0"/>
                <w:numId w:val="2"/>
              </w:numPr>
              <w:autoSpaceDE w:val="0"/>
              <w:autoSpaceDN w:val="0"/>
              <w:adjustRightInd w:val="0"/>
              <w:ind w:left="317" w:hanging="283"/>
              <w:rPr>
                <w:rFonts w:ascii="Gill Sans" w:hAnsi="Gill Sans" w:cs="Gill Sans"/>
                <w:sz w:val="22"/>
                <w:szCs w:val="22"/>
                <w:lang w:val="en-US"/>
              </w:rPr>
            </w:pPr>
            <w:r w:rsidRPr="00C001DE">
              <w:rPr>
                <w:rFonts w:ascii="Gill Sans" w:hAnsi="Gill Sans" w:cs="Gill Sans"/>
                <w:sz w:val="22"/>
                <w:szCs w:val="22"/>
                <w:lang w:val="en-US"/>
              </w:rPr>
              <w:t>Accurate and relevant own knowledge is demonstrated. There is effective synthesis of own knowledge and source material.</w:t>
            </w:r>
          </w:p>
        </w:tc>
      </w:tr>
    </w:tbl>
    <w:p w14:paraId="745F6526" w14:textId="77777777" w:rsidR="00F248F8" w:rsidRDefault="00F248F8" w:rsidP="00F248F8"/>
    <w:p w14:paraId="6360AC06" w14:textId="59BFB3D7" w:rsidR="00C001DE" w:rsidRPr="00C001DE" w:rsidRDefault="00C001DE" w:rsidP="00F248F8">
      <w:pPr>
        <w:rPr>
          <w:rFonts w:ascii="Gill Sans" w:hAnsi="Gill Sans" w:cs="Gill Sans"/>
          <w:b/>
        </w:rPr>
      </w:pPr>
      <w:r w:rsidRPr="00C001DE">
        <w:rPr>
          <w:rFonts w:ascii="Gill Sans" w:hAnsi="Gill Sans" w:cs="Gill Sans"/>
          <w:b/>
        </w:rPr>
        <w:t>Suggested Grade Boundaries</w:t>
      </w:r>
    </w:p>
    <w:p w14:paraId="14B86D13" w14:textId="0EB4508D" w:rsidR="00C001DE" w:rsidRPr="00C001DE" w:rsidRDefault="00C001DE" w:rsidP="00F248F8">
      <w:pPr>
        <w:rPr>
          <w:rFonts w:ascii="Gill Sans" w:hAnsi="Gill Sans" w:cs="Gill Sans"/>
        </w:rPr>
      </w:pPr>
      <w:r w:rsidRPr="00C001DE">
        <w:rPr>
          <w:rFonts w:ascii="Gill Sans" w:hAnsi="Gill Sans" w:cs="Gill Sans"/>
        </w:rPr>
        <w:t>(These are adjusted each year and there is no official version until after the first exams in 2017)</w:t>
      </w:r>
    </w:p>
    <w:p w14:paraId="2A632742" w14:textId="77777777" w:rsidR="00C001DE" w:rsidRPr="00C001DE" w:rsidRDefault="00C001DE" w:rsidP="00F248F8">
      <w:pPr>
        <w:rPr>
          <w:rFonts w:ascii="Gill Sans" w:hAnsi="Gill Sans" w:cs="Gill Sans"/>
        </w:rPr>
      </w:pPr>
    </w:p>
    <w:tbl>
      <w:tblPr>
        <w:tblStyle w:val="TableGrid"/>
        <w:tblW w:w="0" w:type="auto"/>
        <w:tblLook w:val="04A0" w:firstRow="1" w:lastRow="0" w:firstColumn="1" w:lastColumn="0" w:noHBand="0" w:noVBand="1"/>
      </w:tblPr>
      <w:tblGrid>
        <w:gridCol w:w="1525"/>
        <w:gridCol w:w="1525"/>
        <w:gridCol w:w="1525"/>
        <w:gridCol w:w="1525"/>
        <w:gridCol w:w="1525"/>
        <w:gridCol w:w="1525"/>
        <w:gridCol w:w="1526"/>
      </w:tblGrid>
      <w:tr w:rsidR="00C001DE" w:rsidRPr="00C001DE" w14:paraId="2E51520D" w14:textId="77777777" w:rsidTr="00C001DE">
        <w:tc>
          <w:tcPr>
            <w:tcW w:w="1525" w:type="dxa"/>
          </w:tcPr>
          <w:p w14:paraId="2F795041" w14:textId="00D70E12" w:rsidR="00C001DE" w:rsidRPr="00C001DE" w:rsidRDefault="00C001DE" w:rsidP="00F248F8">
            <w:pPr>
              <w:rPr>
                <w:rFonts w:ascii="Gill Sans" w:hAnsi="Gill Sans" w:cs="Gill Sans"/>
              </w:rPr>
            </w:pPr>
            <w:r w:rsidRPr="00C001DE">
              <w:rPr>
                <w:rFonts w:ascii="Gill Sans" w:hAnsi="Gill Sans" w:cs="Gill Sans"/>
              </w:rPr>
              <w:t>1     (1-4)</w:t>
            </w:r>
          </w:p>
        </w:tc>
        <w:tc>
          <w:tcPr>
            <w:tcW w:w="1525" w:type="dxa"/>
          </w:tcPr>
          <w:p w14:paraId="5C089F6F" w14:textId="55438B4D" w:rsidR="00C001DE" w:rsidRPr="00C001DE" w:rsidRDefault="00C001DE" w:rsidP="00F248F8">
            <w:pPr>
              <w:rPr>
                <w:rFonts w:ascii="Gill Sans" w:hAnsi="Gill Sans" w:cs="Gill Sans"/>
              </w:rPr>
            </w:pPr>
            <w:r w:rsidRPr="00C001DE">
              <w:rPr>
                <w:rFonts w:ascii="Gill Sans" w:hAnsi="Gill Sans" w:cs="Gill Sans"/>
              </w:rPr>
              <w:t>2      (5-7)</w:t>
            </w:r>
          </w:p>
        </w:tc>
        <w:tc>
          <w:tcPr>
            <w:tcW w:w="1525" w:type="dxa"/>
          </w:tcPr>
          <w:p w14:paraId="51D94CA6" w14:textId="1B43DCBF" w:rsidR="00C001DE" w:rsidRPr="00C001DE" w:rsidRDefault="00C001DE" w:rsidP="00F248F8">
            <w:pPr>
              <w:rPr>
                <w:rFonts w:ascii="Gill Sans" w:hAnsi="Gill Sans" w:cs="Gill Sans"/>
              </w:rPr>
            </w:pPr>
            <w:r w:rsidRPr="00C001DE">
              <w:rPr>
                <w:rFonts w:ascii="Gill Sans" w:hAnsi="Gill Sans" w:cs="Gill Sans"/>
              </w:rPr>
              <w:t>3     (8-11)</w:t>
            </w:r>
          </w:p>
        </w:tc>
        <w:tc>
          <w:tcPr>
            <w:tcW w:w="1525" w:type="dxa"/>
          </w:tcPr>
          <w:p w14:paraId="185E68A7" w14:textId="15784D2D" w:rsidR="00C001DE" w:rsidRPr="00C001DE" w:rsidRDefault="00C001DE" w:rsidP="00F248F8">
            <w:pPr>
              <w:rPr>
                <w:rFonts w:ascii="Gill Sans" w:hAnsi="Gill Sans" w:cs="Gill Sans"/>
              </w:rPr>
            </w:pPr>
            <w:r w:rsidRPr="00C001DE">
              <w:rPr>
                <w:rFonts w:ascii="Gill Sans" w:hAnsi="Gill Sans" w:cs="Gill Sans"/>
              </w:rPr>
              <w:t>4     (12-14)</w:t>
            </w:r>
          </w:p>
        </w:tc>
        <w:tc>
          <w:tcPr>
            <w:tcW w:w="1525" w:type="dxa"/>
          </w:tcPr>
          <w:p w14:paraId="78E19B2B" w14:textId="43357D42" w:rsidR="00C001DE" w:rsidRPr="00C001DE" w:rsidRDefault="00C001DE" w:rsidP="00F248F8">
            <w:pPr>
              <w:rPr>
                <w:rFonts w:ascii="Gill Sans" w:hAnsi="Gill Sans" w:cs="Gill Sans"/>
              </w:rPr>
            </w:pPr>
            <w:r w:rsidRPr="00C001DE">
              <w:rPr>
                <w:rFonts w:ascii="Gill Sans" w:hAnsi="Gill Sans" w:cs="Gill Sans"/>
              </w:rPr>
              <w:t>5     (15-17)</w:t>
            </w:r>
          </w:p>
        </w:tc>
        <w:tc>
          <w:tcPr>
            <w:tcW w:w="1525" w:type="dxa"/>
          </w:tcPr>
          <w:p w14:paraId="020AABEC" w14:textId="76131282" w:rsidR="00C001DE" w:rsidRPr="00C001DE" w:rsidRDefault="00C001DE" w:rsidP="00F248F8">
            <w:pPr>
              <w:rPr>
                <w:rFonts w:ascii="Gill Sans" w:hAnsi="Gill Sans" w:cs="Gill Sans"/>
              </w:rPr>
            </w:pPr>
            <w:r w:rsidRPr="00C001DE">
              <w:rPr>
                <w:rFonts w:ascii="Gill Sans" w:hAnsi="Gill Sans" w:cs="Gill Sans"/>
              </w:rPr>
              <w:t>6    (18-19)</w:t>
            </w:r>
          </w:p>
        </w:tc>
        <w:tc>
          <w:tcPr>
            <w:tcW w:w="1526" w:type="dxa"/>
          </w:tcPr>
          <w:p w14:paraId="6E723467" w14:textId="54B9F4A5" w:rsidR="00C001DE" w:rsidRPr="00C001DE" w:rsidRDefault="00C001DE" w:rsidP="00F248F8">
            <w:pPr>
              <w:rPr>
                <w:rFonts w:ascii="Gill Sans" w:hAnsi="Gill Sans" w:cs="Gill Sans"/>
              </w:rPr>
            </w:pPr>
            <w:r w:rsidRPr="00C001DE">
              <w:rPr>
                <w:rFonts w:ascii="Gill Sans" w:hAnsi="Gill Sans" w:cs="Gill Sans"/>
              </w:rPr>
              <w:t>7    (20-24)</w:t>
            </w:r>
          </w:p>
        </w:tc>
      </w:tr>
    </w:tbl>
    <w:p w14:paraId="38E5D4E3" w14:textId="77777777" w:rsidR="00C001DE" w:rsidRPr="00F248F8" w:rsidRDefault="00C001DE" w:rsidP="00F248F8"/>
    <w:sectPr w:rsidR="00C001DE" w:rsidRPr="00F248F8" w:rsidSect="00402DF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E553D8"/>
    <w:multiLevelType w:val="hybridMultilevel"/>
    <w:tmpl w:val="A8C4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8F8"/>
    <w:rsid w:val="00087BA8"/>
    <w:rsid w:val="00402DF7"/>
    <w:rsid w:val="00441586"/>
    <w:rsid w:val="00774533"/>
    <w:rsid w:val="009328B6"/>
    <w:rsid w:val="00B846F9"/>
    <w:rsid w:val="00C001DE"/>
    <w:rsid w:val="00F24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C9A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8F8"/>
    <w:rPr>
      <w:rFonts w:ascii="Lucida Grande" w:hAnsi="Lucida Grande" w:cs="Lucida Grande"/>
      <w:sz w:val="18"/>
      <w:szCs w:val="18"/>
    </w:rPr>
  </w:style>
  <w:style w:type="paragraph" w:styleId="ListParagraph">
    <w:name w:val="List Paragraph"/>
    <w:basedOn w:val="Normal"/>
    <w:uiPriority w:val="34"/>
    <w:qFormat/>
    <w:rsid w:val="00C001DE"/>
    <w:pPr>
      <w:ind w:left="720"/>
      <w:contextualSpacing/>
    </w:pPr>
  </w:style>
  <w:style w:type="table" w:styleId="TableGrid">
    <w:name w:val="Table Grid"/>
    <w:basedOn w:val="TableNormal"/>
    <w:uiPriority w:val="59"/>
    <w:rsid w:val="00C0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8F8"/>
    <w:rPr>
      <w:rFonts w:ascii="Lucida Grande" w:hAnsi="Lucida Grande" w:cs="Lucida Grande"/>
      <w:sz w:val="18"/>
      <w:szCs w:val="18"/>
    </w:rPr>
  </w:style>
  <w:style w:type="paragraph" w:styleId="ListParagraph">
    <w:name w:val="List Paragraph"/>
    <w:basedOn w:val="Normal"/>
    <w:uiPriority w:val="34"/>
    <w:qFormat/>
    <w:rsid w:val="00C001DE"/>
    <w:pPr>
      <w:ind w:left="720"/>
      <w:contextualSpacing/>
    </w:pPr>
  </w:style>
  <w:style w:type="table" w:styleId="TableGrid">
    <w:name w:val="Table Grid"/>
    <w:basedOn w:val="TableNormal"/>
    <w:uiPriority w:val="59"/>
    <w:rsid w:val="00C001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488</Words>
  <Characters>2785</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2016-07-05T09:57:00Z</dcterms:created>
  <dcterms:modified xsi:type="dcterms:W3CDTF">2016-07-07T10:48:00Z</dcterms:modified>
</cp:coreProperties>
</file>